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24" w:rsidRDefault="00715124" w:rsidP="00715124">
      <w:pPr>
        <w:spacing w:line="580" w:lineRule="exact"/>
        <w:rPr>
          <w:rFonts w:ascii="黑体" w:eastAsia="黑体" w:hAnsi="黑体" w:hint="eastAsia"/>
          <w:sz w:val="32"/>
          <w:szCs w:val="32"/>
        </w:rPr>
      </w:pPr>
      <w:r w:rsidRPr="006A2F8F">
        <w:rPr>
          <w:rFonts w:ascii="黑体" w:eastAsia="黑体" w:hAnsi="黑体" w:hint="eastAsia"/>
          <w:sz w:val="32"/>
          <w:szCs w:val="32"/>
        </w:rPr>
        <w:t>附件1</w:t>
      </w:r>
    </w:p>
    <w:p w:rsidR="00715124" w:rsidRPr="006A2F8F" w:rsidRDefault="00715124" w:rsidP="00715124">
      <w:pPr>
        <w:spacing w:line="580" w:lineRule="exact"/>
        <w:rPr>
          <w:rFonts w:ascii="黑体" w:eastAsia="黑体" w:hAnsi="黑体"/>
          <w:sz w:val="32"/>
          <w:szCs w:val="32"/>
        </w:rPr>
      </w:pPr>
    </w:p>
    <w:p w:rsidR="00715124" w:rsidRPr="00A734D9" w:rsidRDefault="00715124" w:rsidP="00715124">
      <w:pPr>
        <w:spacing w:line="580" w:lineRule="exact"/>
        <w:jc w:val="center"/>
        <w:rPr>
          <w:rFonts w:ascii="方正小标宋简体" w:eastAsia="方正小标宋简体" w:hAnsi="仿宋"/>
          <w:sz w:val="44"/>
          <w:szCs w:val="44"/>
        </w:rPr>
      </w:pPr>
      <w:r w:rsidRPr="00A734D9">
        <w:rPr>
          <w:rFonts w:ascii="方正小标宋简体" w:eastAsia="方正小标宋简体" w:hAnsi="仿宋" w:hint="eastAsia"/>
          <w:sz w:val="44"/>
          <w:szCs w:val="44"/>
        </w:rPr>
        <w:t>榆林市落实省政府取消的行政许可事项目录</w:t>
      </w:r>
    </w:p>
    <w:p w:rsidR="00715124" w:rsidRPr="00A734D9" w:rsidRDefault="00715124" w:rsidP="00715124">
      <w:pPr>
        <w:spacing w:line="580" w:lineRule="exact"/>
        <w:jc w:val="center"/>
        <w:rPr>
          <w:rFonts w:ascii="楷体_GB2312" w:eastAsia="楷体_GB2312" w:hAnsi="楷体" w:hint="eastAsia"/>
          <w:sz w:val="32"/>
          <w:szCs w:val="32"/>
        </w:rPr>
      </w:pPr>
      <w:r w:rsidRPr="00A734D9">
        <w:rPr>
          <w:rFonts w:ascii="楷体_GB2312" w:eastAsia="楷体_GB2312" w:hAnsi="楷体" w:hint="eastAsia"/>
          <w:sz w:val="32"/>
          <w:szCs w:val="32"/>
        </w:rPr>
        <w:t>（共计3项）</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75"/>
        <w:gridCol w:w="1560"/>
        <w:gridCol w:w="1701"/>
        <w:gridCol w:w="3843"/>
      </w:tblGrid>
      <w:tr w:rsidR="00715124" w:rsidRPr="00D92434" w:rsidTr="00766661">
        <w:trPr>
          <w:trHeight w:val="987"/>
        </w:trPr>
        <w:tc>
          <w:tcPr>
            <w:tcW w:w="534"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序号</w:t>
            </w:r>
          </w:p>
        </w:tc>
        <w:tc>
          <w:tcPr>
            <w:tcW w:w="1275"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事项名称</w:t>
            </w:r>
          </w:p>
        </w:tc>
        <w:tc>
          <w:tcPr>
            <w:tcW w:w="1560"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原审批部门</w:t>
            </w:r>
          </w:p>
        </w:tc>
        <w:tc>
          <w:tcPr>
            <w:tcW w:w="1701"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设定依据</w:t>
            </w:r>
          </w:p>
        </w:tc>
        <w:tc>
          <w:tcPr>
            <w:tcW w:w="3843"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加强事中事后监管措施</w:t>
            </w:r>
          </w:p>
        </w:tc>
      </w:tr>
      <w:tr w:rsidR="00715124" w:rsidRPr="00D92434" w:rsidTr="00766661">
        <w:trPr>
          <w:trHeight w:val="4885"/>
        </w:trPr>
        <w:tc>
          <w:tcPr>
            <w:tcW w:w="534" w:type="dxa"/>
            <w:shd w:val="clear" w:color="auto" w:fill="auto"/>
            <w:vAlign w:val="center"/>
          </w:tcPr>
          <w:p w:rsidR="00715124" w:rsidRPr="0080319F" w:rsidRDefault="00715124" w:rsidP="00766661">
            <w:pPr>
              <w:spacing w:line="400" w:lineRule="exact"/>
              <w:jc w:val="center"/>
              <w:rPr>
                <w:rFonts w:ascii="仿宋_GB2312" w:eastAsia="仿宋_GB2312" w:hAnsi="仿宋"/>
                <w:sz w:val="24"/>
              </w:rPr>
            </w:pPr>
            <w:r w:rsidRPr="0080319F">
              <w:rPr>
                <w:rFonts w:ascii="仿宋_GB2312" w:eastAsia="仿宋_GB2312" w:hAnsi="仿宋" w:hint="eastAsia"/>
                <w:sz w:val="24"/>
              </w:rPr>
              <w:t>1</w:t>
            </w:r>
          </w:p>
        </w:tc>
        <w:tc>
          <w:tcPr>
            <w:tcW w:w="1275"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船员服务薄签发</w:t>
            </w:r>
          </w:p>
        </w:tc>
        <w:tc>
          <w:tcPr>
            <w:tcW w:w="1560"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市、县级交通运输部门</w:t>
            </w:r>
          </w:p>
        </w:tc>
        <w:tc>
          <w:tcPr>
            <w:tcW w:w="1701"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《中华人民共和国船员条例》</w:t>
            </w:r>
          </w:p>
        </w:tc>
        <w:tc>
          <w:tcPr>
            <w:tcW w:w="3843"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取消审批后，对通过船员适任证书核发审查的船员直接发放《船员服务薄》。市、县级交通运输部门要通过以下措施优化服务、加强事中事后监管：1.将厨师、服务员等不参加航行值班的船员纳入船员适任证书核发申请人员范围，并优化服务，方便船员办事。2.新的《船员服务薄》作为船员个人持有的法定文书，主要承载船员档案功能，记录船员履职情况</w:t>
            </w:r>
          </w:p>
        </w:tc>
      </w:tr>
      <w:tr w:rsidR="00715124" w:rsidRPr="00D92434" w:rsidTr="00766661">
        <w:trPr>
          <w:trHeight w:val="4685"/>
        </w:trPr>
        <w:tc>
          <w:tcPr>
            <w:tcW w:w="534" w:type="dxa"/>
            <w:shd w:val="clear" w:color="auto" w:fill="auto"/>
            <w:vAlign w:val="center"/>
          </w:tcPr>
          <w:p w:rsidR="00715124" w:rsidRPr="0080319F" w:rsidRDefault="00715124" w:rsidP="00766661">
            <w:pPr>
              <w:spacing w:line="400" w:lineRule="exact"/>
              <w:jc w:val="center"/>
              <w:rPr>
                <w:rFonts w:ascii="仿宋_GB2312" w:eastAsia="仿宋_GB2312" w:hAnsi="仿宋"/>
                <w:sz w:val="24"/>
              </w:rPr>
            </w:pPr>
            <w:r w:rsidRPr="0080319F">
              <w:rPr>
                <w:rFonts w:ascii="仿宋_GB2312" w:eastAsia="仿宋_GB2312" w:hAnsi="仿宋" w:hint="eastAsia"/>
                <w:sz w:val="24"/>
              </w:rPr>
              <w:t>2</w:t>
            </w:r>
          </w:p>
        </w:tc>
        <w:tc>
          <w:tcPr>
            <w:tcW w:w="1275"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道路货物运输站（场）经营许可</w:t>
            </w:r>
          </w:p>
        </w:tc>
        <w:tc>
          <w:tcPr>
            <w:tcW w:w="1560"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县级交通运输部门</w:t>
            </w:r>
          </w:p>
        </w:tc>
        <w:tc>
          <w:tcPr>
            <w:tcW w:w="1701" w:type="dxa"/>
            <w:shd w:val="clear" w:color="auto" w:fill="auto"/>
            <w:vAlign w:val="center"/>
          </w:tcPr>
          <w:p w:rsidR="00715124" w:rsidRPr="0080319F" w:rsidRDefault="00715124" w:rsidP="00766661">
            <w:pPr>
              <w:spacing w:line="400" w:lineRule="exact"/>
              <w:rPr>
                <w:rFonts w:ascii="仿宋_GB2312" w:eastAsia="仿宋_GB2312" w:hAnsi="仿宋"/>
                <w:sz w:val="24"/>
              </w:rPr>
            </w:pPr>
            <w:r w:rsidRPr="0080319F">
              <w:rPr>
                <w:rFonts w:ascii="仿宋_GB2312" w:eastAsia="仿宋_GB2312" w:hAnsi="仿宋" w:hint="eastAsia"/>
                <w:sz w:val="24"/>
              </w:rPr>
              <w:t>《中华人民共和国道路运输条例》</w:t>
            </w:r>
          </w:p>
        </w:tc>
        <w:tc>
          <w:tcPr>
            <w:tcW w:w="3843" w:type="dxa"/>
            <w:shd w:val="clear" w:color="auto" w:fill="auto"/>
            <w:vAlign w:val="center"/>
          </w:tcPr>
          <w:p w:rsidR="00715124" w:rsidRPr="0080319F" w:rsidRDefault="00715124" w:rsidP="00766661">
            <w:pPr>
              <w:spacing w:line="440" w:lineRule="exact"/>
              <w:rPr>
                <w:rFonts w:ascii="仿宋_GB2312" w:eastAsia="仿宋_GB2312" w:hAnsi="仿宋"/>
                <w:sz w:val="24"/>
              </w:rPr>
            </w:pPr>
            <w:r w:rsidRPr="0080319F">
              <w:rPr>
                <w:rFonts w:ascii="仿宋_GB2312" w:eastAsia="仿宋_GB2312" w:hAnsi="仿宋" w:hint="eastAsia"/>
                <w:sz w:val="24"/>
              </w:rPr>
              <w:t>取消审批后，全市县</w:t>
            </w:r>
            <w:proofErr w:type="gramStart"/>
            <w:r w:rsidRPr="0080319F">
              <w:rPr>
                <w:rFonts w:ascii="仿宋_GB2312" w:eastAsia="仿宋_GB2312" w:hAnsi="仿宋" w:hint="eastAsia"/>
                <w:sz w:val="24"/>
              </w:rPr>
              <w:t>级交通</w:t>
            </w:r>
            <w:proofErr w:type="gramEnd"/>
            <w:r w:rsidRPr="0080319F">
              <w:rPr>
                <w:rFonts w:ascii="仿宋_GB2312" w:eastAsia="仿宋_GB2312" w:hAnsi="仿宋" w:hint="eastAsia"/>
                <w:sz w:val="24"/>
              </w:rPr>
              <w:t>运输部门要通过以下措施加强事中事后监管：1.加强对道路货物运输站（场）及入驻企业的安全监管，督促企业履行安全生产主体责任。2.实施道路货物运输站（场）相关标准，推动站（场）建设运营标准化。3.加强信用监管，建立健全道路货物运输企业及从业人员的诚信考核制度</w:t>
            </w:r>
          </w:p>
        </w:tc>
      </w:tr>
      <w:tr w:rsidR="00715124" w:rsidRPr="00D92434" w:rsidTr="00766661">
        <w:trPr>
          <w:trHeight w:val="983"/>
        </w:trPr>
        <w:tc>
          <w:tcPr>
            <w:tcW w:w="534"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lastRenderedPageBreak/>
              <w:t>序号</w:t>
            </w:r>
          </w:p>
        </w:tc>
        <w:tc>
          <w:tcPr>
            <w:tcW w:w="1275"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事项名称</w:t>
            </w:r>
          </w:p>
        </w:tc>
        <w:tc>
          <w:tcPr>
            <w:tcW w:w="1560"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原审批部门</w:t>
            </w:r>
          </w:p>
        </w:tc>
        <w:tc>
          <w:tcPr>
            <w:tcW w:w="1701"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设定依据</w:t>
            </w:r>
          </w:p>
        </w:tc>
        <w:tc>
          <w:tcPr>
            <w:tcW w:w="3843" w:type="dxa"/>
            <w:shd w:val="clear" w:color="auto" w:fill="auto"/>
            <w:vAlign w:val="center"/>
          </w:tcPr>
          <w:p w:rsidR="00715124" w:rsidRPr="0080319F" w:rsidRDefault="00715124" w:rsidP="00766661">
            <w:pPr>
              <w:spacing w:line="400" w:lineRule="exact"/>
              <w:jc w:val="center"/>
              <w:rPr>
                <w:rFonts w:ascii="黑体" w:eastAsia="黑体" w:hAnsi="黑体"/>
                <w:sz w:val="24"/>
              </w:rPr>
            </w:pPr>
            <w:r w:rsidRPr="0080319F">
              <w:rPr>
                <w:rFonts w:ascii="黑体" w:eastAsia="黑体" w:hAnsi="黑体" w:hint="eastAsia"/>
                <w:sz w:val="24"/>
              </w:rPr>
              <w:t>加强事中事后监管措施</w:t>
            </w:r>
          </w:p>
        </w:tc>
      </w:tr>
      <w:tr w:rsidR="00715124" w:rsidRPr="00D92434" w:rsidTr="00766661">
        <w:trPr>
          <w:trHeight w:val="7645"/>
        </w:trPr>
        <w:tc>
          <w:tcPr>
            <w:tcW w:w="534" w:type="dxa"/>
            <w:shd w:val="clear" w:color="auto" w:fill="auto"/>
            <w:vAlign w:val="center"/>
          </w:tcPr>
          <w:p w:rsidR="00715124" w:rsidRPr="0080319F" w:rsidRDefault="00715124" w:rsidP="00766661">
            <w:pPr>
              <w:spacing w:line="460" w:lineRule="exact"/>
              <w:jc w:val="center"/>
              <w:rPr>
                <w:rFonts w:ascii="仿宋_GB2312" w:eastAsia="仿宋_GB2312" w:hAnsi="仿宋"/>
                <w:sz w:val="24"/>
              </w:rPr>
            </w:pPr>
            <w:r w:rsidRPr="0080319F">
              <w:rPr>
                <w:rFonts w:ascii="仿宋_GB2312" w:eastAsia="仿宋_GB2312" w:hAnsi="仿宋" w:hint="eastAsia"/>
                <w:sz w:val="24"/>
              </w:rPr>
              <w:t>3</w:t>
            </w:r>
          </w:p>
        </w:tc>
        <w:tc>
          <w:tcPr>
            <w:tcW w:w="1275" w:type="dxa"/>
            <w:shd w:val="clear" w:color="auto" w:fill="auto"/>
            <w:vAlign w:val="center"/>
          </w:tcPr>
          <w:p w:rsidR="00715124" w:rsidRPr="0080319F" w:rsidRDefault="00715124" w:rsidP="00766661">
            <w:pPr>
              <w:spacing w:line="460" w:lineRule="exact"/>
              <w:rPr>
                <w:rFonts w:ascii="仿宋_GB2312" w:eastAsia="仿宋_GB2312" w:hAnsi="仿宋"/>
                <w:sz w:val="24"/>
              </w:rPr>
            </w:pPr>
            <w:r w:rsidRPr="0080319F">
              <w:rPr>
                <w:rFonts w:ascii="仿宋_GB2312" w:eastAsia="仿宋_GB2312" w:hAnsi="仿宋" w:hint="eastAsia"/>
                <w:sz w:val="24"/>
              </w:rPr>
              <w:t>名称预先核准（包括企业、企业集团、个体工商户、农民专业合作社名称预先核准）</w:t>
            </w:r>
          </w:p>
        </w:tc>
        <w:tc>
          <w:tcPr>
            <w:tcW w:w="1560" w:type="dxa"/>
            <w:shd w:val="clear" w:color="auto" w:fill="auto"/>
            <w:vAlign w:val="center"/>
          </w:tcPr>
          <w:p w:rsidR="00715124" w:rsidRPr="0080319F" w:rsidRDefault="00715124" w:rsidP="00766661">
            <w:pPr>
              <w:spacing w:line="460" w:lineRule="exact"/>
              <w:rPr>
                <w:rFonts w:ascii="仿宋_GB2312" w:eastAsia="仿宋_GB2312" w:hAnsi="仿宋"/>
                <w:sz w:val="24"/>
              </w:rPr>
            </w:pPr>
            <w:r w:rsidRPr="0080319F">
              <w:rPr>
                <w:rFonts w:ascii="仿宋_GB2312" w:eastAsia="仿宋_GB2312" w:hAnsi="仿宋" w:hint="eastAsia"/>
                <w:sz w:val="24"/>
              </w:rPr>
              <w:t>市、县级市场监管部门</w:t>
            </w:r>
          </w:p>
        </w:tc>
        <w:tc>
          <w:tcPr>
            <w:tcW w:w="1701" w:type="dxa"/>
            <w:shd w:val="clear" w:color="auto" w:fill="auto"/>
            <w:vAlign w:val="center"/>
          </w:tcPr>
          <w:p w:rsidR="00715124" w:rsidRPr="0080319F" w:rsidRDefault="00715124" w:rsidP="00766661">
            <w:pPr>
              <w:spacing w:line="460" w:lineRule="exact"/>
              <w:rPr>
                <w:rFonts w:ascii="仿宋_GB2312" w:eastAsia="仿宋_GB2312" w:hAnsi="仿宋"/>
                <w:sz w:val="24"/>
              </w:rPr>
            </w:pPr>
            <w:r w:rsidRPr="0080319F">
              <w:rPr>
                <w:rFonts w:ascii="仿宋_GB2312" w:eastAsia="仿宋_GB2312" w:hAnsi="仿宋" w:hint="eastAsia"/>
                <w:sz w:val="24"/>
              </w:rPr>
              <w:t>《中华人民共和国公司登记管理条例》  《中华人民共和国企业法人登记管理条例》《企业名称登记管理规定》《个体工商户条例》《农民专业合作社登记管理条例》</w:t>
            </w:r>
          </w:p>
        </w:tc>
        <w:tc>
          <w:tcPr>
            <w:tcW w:w="3843" w:type="dxa"/>
            <w:shd w:val="clear" w:color="auto" w:fill="auto"/>
            <w:vAlign w:val="center"/>
          </w:tcPr>
          <w:p w:rsidR="00715124" w:rsidRPr="0080319F" w:rsidRDefault="00715124" w:rsidP="00766661">
            <w:pPr>
              <w:spacing w:line="460" w:lineRule="exact"/>
              <w:jc w:val="left"/>
              <w:rPr>
                <w:rFonts w:ascii="仿宋_GB2312" w:eastAsia="仿宋_GB2312" w:hAnsi="仿宋"/>
                <w:sz w:val="24"/>
              </w:rPr>
            </w:pPr>
            <w:r w:rsidRPr="0080319F">
              <w:rPr>
                <w:rFonts w:ascii="仿宋_GB2312" w:eastAsia="仿宋_GB2312" w:hAnsi="仿宋" w:hint="eastAsia"/>
                <w:sz w:val="24"/>
              </w:rPr>
              <w:t>取消审批后，改为企业（包括个体工商户、农民专业合作社，下同）自主申报名称，市场监管部门在企业注册登记时核准名称。市、县级市场监管部门要通过以下措施优化服务、加强事中事后监管：1.向社会公开企业名称库，引导企业自行拟定符合规则要求的名称。2.建立企业名称自主申报制度，建设企业名称申报系统，明确企业名称禁限用规则，完善企业名称争议处理机制，加强对企业名称使用的监督管 理。3.简化优化工商登记程序，实行“一次性告知”，提高企业登记办理效率，保障企业自主选择名称</w:t>
            </w:r>
          </w:p>
        </w:tc>
      </w:tr>
    </w:tbl>
    <w:p w:rsidR="00715124" w:rsidRPr="00D92434" w:rsidRDefault="00715124" w:rsidP="00715124">
      <w:pPr>
        <w:spacing w:line="580" w:lineRule="exact"/>
        <w:ind w:firstLine="630"/>
        <w:rPr>
          <w:rFonts w:ascii="仿宋_GB2312" w:eastAsia="仿宋_GB2312" w:hAnsi="仿宋"/>
          <w:sz w:val="32"/>
          <w:szCs w:val="32"/>
        </w:rPr>
      </w:pPr>
    </w:p>
    <w:p w:rsidR="00715124" w:rsidRPr="00D92434" w:rsidRDefault="00715124" w:rsidP="00715124">
      <w:pPr>
        <w:spacing w:line="580" w:lineRule="exact"/>
        <w:ind w:firstLine="630"/>
        <w:rPr>
          <w:rFonts w:ascii="仿宋_GB2312" w:eastAsia="仿宋_GB2312" w:hAnsi="仿宋"/>
          <w:sz w:val="32"/>
          <w:szCs w:val="32"/>
        </w:rPr>
      </w:pPr>
    </w:p>
    <w:p w:rsidR="00715124" w:rsidRPr="00D92434" w:rsidRDefault="00715124" w:rsidP="00715124">
      <w:pPr>
        <w:spacing w:line="580" w:lineRule="exact"/>
        <w:ind w:firstLine="630"/>
        <w:rPr>
          <w:rFonts w:ascii="仿宋_GB2312" w:eastAsia="仿宋_GB2312" w:hAnsi="仿宋"/>
          <w:sz w:val="32"/>
          <w:szCs w:val="32"/>
        </w:rPr>
      </w:pPr>
    </w:p>
    <w:p w:rsidR="00715124" w:rsidRDefault="00715124" w:rsidP="00715124">
      <w:pPr>
        <w:spacing w:line="580" w:lineRule="exact"/>
        <w:rPr>
          <w:rFonts w:ascii="黑体" w:eastAsia="黑体" w:hAnsi="黑体"/>
          <w:sz w:val="32"/>
          <w:szCs w:val="32"/>
        </w:rPr>
      </w:pPr>
    </w:p>
    <w:p w:rsidR="00715124" w:rsidRDefault="00715124" w:rsidP="00715124">
      <w:pPr>
        <w:spacing w:line="580" w:lineRule="exact"/>
        <w:rPr>
          <w:rFonts w:ascii="黑体" w:eastAsia="黑体" w:hAnsi="黑体"/>
          <w:sz w:val="32"/>
          <w:szCs w:val="32"/>
        </w:rPr>
      </w:pPr>
    </w:p>
    <w:p w:rsidR="00715124" w:rsidRDefault="00715124" w:rsidP="00715124">
      <w:pPr>
        <w:spacing w:line="580" w:lineRule="exact"/>
        <w:rPr>
          <w:rFonts w:ascii="黑体" w:eastAsia="黑体" w:hAnsi="黑体"/>
          <w:sz w:val="32"/>
          <w:szCs w:val="32"/>
        </w:rPr>
      </w:pPr>
    </w:p>
    <w:p w:rsidR="00715124" w:rsidRDefault="00715124" w:rsidP="00715124">
      <w:pPr>
        <w:spacing w:line="580" w:lineRule="exact"/>
        <w:rPr>
          <w:rFonts w:ascii="黑体" w:eastAsia="黑体" w:hAnsi="黑体"/>
          <w:sz w:val="32"/>
          <w:szCs w:val="32"/>
        </w:rPr>
      </w:pPr>
      <w:bookmarkStart w:id="0" w:name="_GoBack"/>
      <w:bookmarkEnd w:id="0"/>
    </w:p>
    <w:sectPr w:rsidR="00715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EB" w:rsidRDefault="00A943EB" w:rsidP="00715124">
      <w:r>
        <w:separator/>
      </w:r>
    </w:p>
  </w:endnote>
  <w:endnote w:type="continuationSeparator" w:id="0">
    <w:p w:rsidR="00A943EB" w:rsidRDefault="00A943EB" w:rsidP="0071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EB" w:rsidRDefault="00A943EB" w:rsidP="00715124">
      <w:r>
        <w:separator/>
      </w:r>
    </w:p>
  </w:footnote>
  <w:footnote w:type="continuationSeparator" w:id="0">
    <w:p w:rsidR="00A943EB" w:rsidRDefault="00A943EB" w:rsidP="00715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05"/>
    <w:rsid w:val="004156B1"/>
    <w:rsid w:val="00715124"/>
    <w:rsid w:val="009C6005"/>
    <w:rsid w:val="00A16BAA"/>
    <w:rsid w:val="00A9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2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1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5124"/>
    <w:rPr>
      <w:sz w:val="18"/>
      <w:szCs w:val="18"/>
    </w:rPr>
  </w:style>
  <w:style w:type="paragraph" w:styleId="a4">
    <w:name w:val="footer"/>
    <w:basedOn w:val="a"/>
    <w:link w:val="Char0"/>
    <w:uiPriority w:val="99"/>
    <w:unhideWhenUsed/>
    <w:rsid w:val="007151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51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2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1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5124"/>
    <w:rPr>
      <w:sz w:val="18"/>
      <w:szCs w:val="18"/>
    </w:rPr>
  </w:style>
  <w:style w:type="paragraph" w:styleId="a4">
    <w:name w:val="footer"/>
    <w:basedOn w:val="a"/>
    <w:link w:val="Char0"/>
    <w:uiPriority w:val="99"/>
    <w:unhideWhenUsed/>
    <w:rsid w:val="007151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51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Company>china</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2019-08-15T09:40:00Z</dcterms:created>
  <dcterms:modified xsi:type="dcterms:W3CDTF">2019-08-15T09:40:00Z</dcterms:modified>
</cp:coreProperties>
</file>